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CF" w:rsidRDefault="00076554" w:rsidP="00076554">
      <w:pPr>
        <w:spacing w:after="120" w:line="240" w:lineRule="auto"/>
        <w:jc w:val="center"/>
        <w:rPr>
          <w:sz w:val="36"/>
          <w:szCs w:val="36"/>
        </w:rPr>
      </w:pPr>
      <w:r>
        <w:rPr>
          <w:sz w:val="36"/>
          <w:szCs w:val="36"/>
        </w:rPr>
        <w:t>Set Membership</w:t>
      </w:r>
      <w:bookmarkStart w:id="0" w:name="_GoBack"/>
      <w:bookmarkEnd w:id="0"/>
    </w:p>
    <w:p w:rsidR="00076554" w:rsidRDefault="00076554" w:rsidP="00076554">
      <w:pPr>
        <w:spacing w:after="120" w:line="240" w:lineRule="auto"/>
        <w:rPr>
          <w:sz w:val="36"/>
          <w:szCs w:val="36"/>
        </w:rPr>
      </w:pPr>
      <w:r w:rsidRPr="00076554">
        <w:rPr>
          <w:sz w:val="36"/>
          <w:szCs w:val="36"/>
        </w:rPr>
        <w:t xml:space="preserve">Before we start on “set membership” let us recall </w:t>
      </w:r>
      <w:r w:rsidR="00120856">
        <w:rPr>
          <w:sz w:val="36"/>
          <w:szCs w:val="36"/>
        </w:rPr>
        <w:t>five</w:t>
      </w:r>
      <w:r w:rsidRPr="00076554">
        <w:rPr>
          <w:sz w:val="36"/>
          <w:szCs w:val="36"/>
        </w:rPr>
        <w:t xml:space="preserve"> things.</w:t>
      </w:r>
    </w:p>
    <w:p w:rsidR="00076554" w:rsidRDefault="00076554" w:rsidP="00076554">
      <w:pPr>
        <w:pStyle w:val="ListParagraph"/>
        <w:numPr>
          <w:ilvl w:val="0"/>
          <w:numId w:val="2"/>
        </w:numPr>
        <w:spacing w:after="120" w:line="240" w:lineRule="auto"/>
        <w:rPr>
          <w:sz w:val="36"/>
          <w:szCs w:val="36"/>
        </w:rPr>
      </w:pPr>
      <w:r w:rsidRPr="00076554">
        <w:rPr>
          <w:sz w:val="36"/>
          <w:szCs w:val="36"/>
        </w:rPr>
        <w:t xml:space="preserve">A set is just a collection of different “things” where “things” can be almost anything.  </w:t>
      </w:r>
    </w:p>
    <w:p w:rsidR="00076554" w:rsidRDefault="00076554" w:rsidP="00076554">
      <w:pPr>
        <w:pStyle w:val="ListParagraph"/>
        <w:numPr>
          <w:ilvl w:val="0"/>
          <w:numId w:val="2"/>
        </w:numPr>
        <w:spacing w:after="120" w:line="240" w:lineRule="auto"/>
        <w:rPr>
          <w:sz w:val="36"/>
          <w:szCs w:val="36"/>
        </w:rPr>
      </w:pPr>
      <w:r>
        <w:rPr>
          <w:sz w:val="36"/>
          <w:szCs w:val="36"/>
        </w:rPr>
        <w:t>We often name sets with capital letters, such as A, B, C, and so on.  We note that we will quickly run out of such letters so we need to be prepared to reuse the letters for different problems.</w:t>
      </w:r>
    </w:p>
    <w:p w:rsidR="00076554" w:rsidRDefault="00076554" w:rsidP="00076554">
      <w:pPr>
        <w:pStyle w:val="ListParagraph"/>
        <w:numPr>
          <w:ilvl w:val="0"/>
          <w:numId w:val="2"/>
        </w:numPr>
        <w:spacing w:after="120" w:line="240" w:lineRule="auto"/>
        <w:rPr>
          <w:sz w:val="36"/>
          <w:szCs w:val="36"/>
        </w:rPr>
      </w:pPr>
      <w:r>
        <w:rPr>
          <w:sz w:val="36"/>
          <w:szCs w:val="36"/>
        </w:rPr>
        <w:t xml:space="preserve">One way to define a set is to list all of the elements of a set.  We do this by listing the elements, not necessarily in any special order, between braces and separated by commas.  Thus, we might have the set </w:t>
      </w:r>
      <w:r w:rsidR="00120856">
        <w:rPr>
          <w:sz w:val="36"/>
          <w:szCs w:val="36"/>
        </w:rPr>
        <w:t>A=</w:t>
      </w:r>
      <w:r>
        <w:rPr>
          <w:sz w:val="36"/>
          <w:szCs w:val="36"/>
        </w:rPr>
        <w:t xml:space="preserve">{1,3,5,7,9}, or the set </w:t>
      </w:r>
      <w:r w:rsidR="00120856">
        <w:rPr>
          <w:sz w:val="36"/>
          <w:szCs w:val="36"/>
        </w:rPr>
        <w:t>B={</w:t>
      </w:r>
      <w:proofErr w:type="spellStart"/>
      <w:r w:rsidR="00120856">
        <w:rPr>
          <w:sz w:val="36"/>
          <w:szCs w:val="36"/>
        </w:rPr>
        <w:t>dog,cat,bird</w:t>
      </w:r>
      <w:proofErr w:type="spellEnd"/>
      <w:r>
        <w:rPr>
          <w:sz w:val="36"/>
          <w:szCs w:val="36"/>
        </w:rPr>
        <w:t xml:space="preserve">}, or the set </w:t>
      </w:r>
      <w:r w:rsidR="00120856">
        <w:rPr>
          <w:sz w:val="36"/>
          <w:szCs w:val="36"/>
        </w:rPr>
        <w:t>D=</w:t>
      </w:r>
      <w:r>
        <w:rPr>
          <w:sz w:val="36"/>
          <w:szCs w:val="36"/>
        </w:rPr>
        <w:t xml:space="preserve">{4, 8, 12, 16,…,44, 48}, or </w:t>
      </w:r>
      <w:r w:rsidR="00FC4DA8">
        <w:rPr>
          <w:sz w:val="36"/>
          <w:szCs w:val="36"/>
        </w:rPr>
        <w:t>an</w:t>
      </w:r>
      <w:r>
        <w:rPr>
          <w:sz w:val="36"/>
          <w:szCs w:val="36"/>
        </w:rPr>
        <w:t xml:space="preserve"> infinite set </w:t>
      </w:r>
      <w:r w:rsidR="00120856">
        <w:rPr>
          <w:sz w:val="36"/>
          <w:szCs w:val="36"/>
        </w:rPr>
        <w:t>F=</w:t>
      </w:r>
      <w:r>
        <w:rPr>
          <w:sz w:val="36"/>
          <w:szCs w:val="36"/>
        </w:rPr>
        <w:t>{</w:t>
      </w:r>
      <w:r w:rsidR="00120856">
        <w:rPr>
          <w:sz w:val="36"/>
          <w:szCs w:val="36"/>
        </w:rPr>
        <w:t xml:space="preserve">…,343, 49, </w:t>
      </w:r>
      <w:r>
        <w:rPr>
          <w:sz w:val="36"/>
          <w:szCs w:val="36"/>
        </w:rPr>
        <w:t>7, 1, 1/7, 1/49, 1/</w:t>
      </w:r>
      <w:r w:rsidR="00120856">
        <w:rPr>
          <w:sz w:val="36"/>
          <w:szCs w:val="36"/>
        </w:rPr>
        <w:t>343,…}.</w:t>
      </w:r>
    </w:p>
    <w:p w:rsidR="00120856" w:rsidRDefault="00120856" w:rsidP="00076554">
      <w:pPr>
        <w:pStyle w:val="ListParagraph"/>
        <w:numPr>
          <w:ilvl w:val="0"/>
          <w:numId w:val="2"/>
        </w:numPr>
        <w:spacing w:after="120" w:line="240" w:lineRule="auto"/>
        <w:rPr>
          <w:sz w:val="36"/>
          <w:szCs w:val="36"/>
        </w:rPr>
      </w:pPr>
      <w:r>
        <w:rPr>
          <w:sz w:val="36"/>
          <w:szCs w:val="36"/>
        </w:rPr>
        <w:t xml:space="preserve">An alternative method for defining a set is to describe a rule that tells us if something is in the set or not in the set.  The formal version of this is called “set-builder notation”.  </w:t>
      </w:r>
      <w:r w:rsidR="00FC4DA8">
        <w:rPr>
          <w:sz w:val="36"/>
          <w:szCs w:val="36"/>
        </w:rPr>
        <w:t xml:space="preserve">This notation again uses braces for the </w:t>
      </w:r>
      <w:r w:rsidR="00AF7D37">
        <w:rPr>
          <w:sz w:val="36"/>
          <w:szCs w:val="36"/>
        </w:rPr>
        <w:t>o</w:t>
      </w:r>
      <w:r w:rsidR="00FC4DA8">
        <w:rPr>
          <w:sz w:val="36"/>
          <w:szCs w:val="36"/>
        </w:rPr>
        <w:t xml:space="preserve">utside of the definition, but it starts with a variable, perhaps x, which is then followed by a vertical bar, |, which is read as “such that”, and that is followed by the rule that we need to apply.  </w:t>
      </w:r>
      <w:r>
        <w:rPr>
          <w:sz w:val="36"/>
          <w:szCs w:val="36"/>
        </w:rPr>
        <w:t>Thus, we might have set G</w:t>
      </w:r>
      <w:proofErr w:type="gramStart"/>
      <w:r>
        <w:rPr>
          <w:sz w:val="36"/>
          <w:szCs w:val="36"/>
        </w:rPr>
        <w:t>={</w:t>
      </w:r>
      <w:proofErr w:type="spellStart"/>
      <w:proofErr w:type="gramEnd"/>
      <w:r>
        <w:rPr>
          <w:sz w:val="36"/>
          <w:szCs w:val="36"/>
        </w:rPr>
        <w:t>x|x</w:t>
      </w:r>
      <w:proofErr w:type="spellEnd"/>
      <w:r>
        <w:rPr>
          <w:sz w:val="36"/>
          <w:szCs w:val="36"/>
        </w:rPr>
        <w:t xml:space="preserve"> is an odd whole number between 0 and 10}, or H={</w:t>
      </w:r>
      <w:proofErr w:type="spellStart"/>
      <w:r>
        <w:rPr>
          <w:sz w:val="36"/>
          <w:szCs w:val="36"/>
        </w:rPr>
        <w:t>x|x</w:t>
      </w:r>
      <w:proofErr w:type="spellEnd"/>
      <w:r>
        <w:rPr>
          <w:sz w:val="36"/>
          <w:szCs w:val="36"/>
        </w:rPr>
        <w:t xml:space="preserve"> is one of the three most popular household pets}, or J={</w:t>
      </w:r>
      <w:proofErr w:type="spellStart"/>
      <w:r>
        <w:rPr>
          <w:sz w:val="36"/>
          <w:szCs w:val="36"/>
        </w:rPr>
        <w:t>y|y</w:t>
      </w:r>
      <w:proofErr w:type="spellEnd"/>
      <w:r>
        <w:rPr>
          <w:sz w:val="36"/>
          <w:szCs w:val="36"/>
        </w:rPr>
        <w:t xml:space="preserve"> is a multiple of 4 between 3 and 50}, or K={</w:t>
      </w:r>
      <w:proofErr w:type="spellStart"/>
      <w:r>
        <w:rPr>
          <w:sz w:val="36"/>
          <w:szCs w:val="36"/>
        </w:rPr>
        <w:t>z|z</w:t>
      </w:r>
      <w:proofErr w:type="spellEnd"/>
      <w:r>
        <w:rPr>
          <w:sz w:val="36"/>
          <w:szCs w:val="36"/>
        </w:rPr>
        <w:t xml:space="preserve"> is equal to 7 raised to an integer power}.  Note that A and G are the same set, B and H are the same set, D and J are the same set, and F and K are the same set.</w:t>
      </w:r>
    </w:p>
    <w:p w:rsidR="00120856" w:rsidRDefault="00120856" w:rsidP="00076554">
      <w:pPr>
        <w:pStyle w:val="ListParagraph"/>
        <w:numPr>
          <w:ilvl w:val="0"/>
          <w:numId w:val="2"/>
        </w:numPr>
        <w:spacing w:after="120" w:line="240" w:lineRule="auto"/>
        <w:rPr>
          <w:sz w:val="36"/>
          <w:szCs w:val="36"/>
        </w:rPr>
      </w:pPr>
      <w:r>
        <w:rPr>
          <w:sz w:val="36"/>
          <w:szCs w:val="36"/>
        </w:rPr>
        <w:lastRenderedPageBreak/>
        <w:t>Since a set is a collection of different things, it makes no sense to have something in a set twice.  Something is either in a set or it is not.</w:t>
      </w:r>
    </w:p>
    <w:p w:rsidR="00120856" w:rsidRDefault="00120856" w:rsidP="00120856">
      <w:pPr>
        <w:spacing w:after="120" w:line="240" w:lineRule="auto"/>
        <w:rPr>
          <w:sz w:val="36"/>
          <w:szCs w:val="36"/>
        </w:rPr>
      </w:pPr>
    </w:p>
    <w:p w:rsidR="00C118E6" w:rsidRDefault="00EE11C5" w:rsidP="00120856">
      <w:pPr>
        <w:spacing w:after="120" w:line="240" w:lineRule="auto"/>
        <w:rPr>
          <w:sz w:val="36"/>
          <w:szCs w:val="36"/>
        </w:rPr>
      </w:pPr>
      <w:r>
        <w:rPr>
          <w:sz w:val="36"/>
          <w:szCs w:val="36"/>
        </w:rPr>
        <w:t xml:space="preserve">Given all of that, we can now talk about set membership.  We want a short way to write something like “7 is an element of the set A” or “11 is not an element of set A”.  We have a symbol, </w:t>
      </w:r>
      <w:proofErr w:type="gramStart"/>
      <w:r>
        <w:rPr>
          <w:sz w:val="36"/>
          <w:szCs w:val="36"/>
        </w:rPr>
        <w:t xml:space="preserve">namely </w:t>
      </w:r>
      <w:proofErr w:type="gramEnd"/>
      <w:r>
        <w:rPr>
          <w:sz w:val="36"/>
          <w:szCs w:val="36"/>
        </w:rPr>
        <w:sym w:font="Mathematica1" w:char="F0CE"/>
      </w:r>
      <w:r>
        <w:rPr>
          <w:sz w:val="36"/>
          <w:szCs w:val="36"/>
        </w:rPr>
        <w:t xml:space="preserve">, to represent “is an element of”, and another symbol, namely </w:t>
      </w:r>
      <w:r>
        <w:rPr>
          <w:sz w:val="36"/>
          <w:szCs w:val="36"/>
        </w:rPr>
        <w:sym w:font="Mathematica1" w:char="F0CF"/>
      </w:r>
      <w:r w:rsidR="00FC4DA8">
        <w:rPr>
          <w:sz w:val="36"/>
          <w:szCs w:val="36"/>
        </w:rPr>
        <w:t xml:space="preserve">, </w:t>
      </w:r>
      <w:r>
        <w:rPr>
          <w:sz w:val="36"/>
          <w:szCs w:val="36"/>
        </w:rPr>
        <w:t>to represent “is not an element of”.  Thus, we could say 7</w:t>
      </w:r>
      <w:r>
        <w:rPr>
          <w:sz w:val="36"/>
          <w:szCs w:val="36"/>
        </w:rPr>
        <w:sym w:font="Mathematica1" w:char="F0CE"/>
      </w:r>
      <w:r>
        <w:rPr>
          <w:sz w:val="36"/>
          <w:szCs w:val="36"/>
        </w:rPr>
        <w:t>A, or we could say 11</w:t>
      </w:r>
      <w:r>
        <w:rPr>
          <w:sz w:val="36"/>
          <w:szCs w:val="36"/>
        </w:rPr>
        <w:sym w:font="Mathematica1" w:char="F0CF"/>
      </w:r>
      <w:r>
        <w:rPr>
          <w:sz w:val="36"/>
          <w:szCs w:val="36"/>
        </w:rPr>
        <w:t>A.  Here are some more examples: hamster</w:t>
      </w:r>
      <w:r>
        <w:rPr>
          <w:sz w:val="36"/>
          <w:szCs w:val="36"/>
        </w:rPr>
        <w:sym w:font="Mathematica1" w:char="F0CF"/>
      </w:r>
      <w:r>
        <w:rPr>
          <w:sz w:val="36"/>
          <w:szCs w:val="36"/>
        </w:rPr>
        <w:t>H</w:t>
      </w:r>
      <w:proofErr w:type="gramStart"/>
      <w:r>
        <w:rPr>
          <w:sz w:val="36"/>
          <w:szCs w:val="36"/>
        </w:rPr>
        <w:t>,  7</w:t>
      </w:r>
      <w:proofErr w:type="gramEnd"/>
      <w:r>
        <w:rPr>
          <w:sz w:val="36"/>
          <w:szCs w:val="36"/>
        </w:rPr>
        <w:sym w:font="Mathematica1" w:char="F0CF"/>
      </w:r>
      <w:r>
        <w:rPr>
          <w:sz w:val="36"/>
          <w:szCs w:val="36"/>
        </w:rPr>
        <w:t>D, 16</w:t>
      </w:r>
      <w:r>
        <w:rPr>
          <w:sz w:val="36"/>
          <w:szCs w:val="36"/>
        </w:rPr>
        <w:sym w:font="Mathematica1" w:char="F0CE"/>
      </w:r>
      <w:r>
        <w:rPr>
          <w:sz w:val="36"/>
          <w:szCs w:val="36"/>
        </w:rPr>
        <w:t>D, 32</w:t>
      </w:r>
      <w:r>
        <w:rPr>
          <w:sz w:val="36"/>
          <w:szCs w:val="36"/>
        </w:rPr>
        <w:sym w:font="Mathematica1" w:char="F0CE"/>
      </w:r>
      <w:r>
        <w:rPr>
          <w:sz w:val="36"/>
          <w:szCs w:val="36"/>
        </w:rPr>
        <w:t>D, 36</w:t>
      </w:r>
      <w:r>
        <w:rPr>
          <w:sz w:val="36"/>
          <w:szCs w:val="36"/>
        </w:rPr>
        <w:sym w:font="Mathematica1" w:char="F0CE"/>
      </w:r>
      <w:r w:rsidR="00C118E6">
        <w:rPr>
          <w:sz w:val="36"/>
          <w:szCs w:val="36"/>
        </w:rPr>
        <w:t xml:space="preserve">J.  </w:t>
      </w:r>
      <w:proofErr w:type="gramStart"/>
      <w:r w:rsidR="00C118E6">
        <w:rPr>
          <w:sz w:val="36"/>
          <w:szCs w:val="36"/>
        </w:rPr>
        <w:t>0.142857</w:t>
      </w:r>
      <w:r w:rsidR="00C118E6">
        <w:rPr>
          <w:sz w:val="36"/>
          <w:szCs w:val="36"/>
        </w:rPr>
        <w:sym w:font="Mathematica1" w:char="F0CF"/>
      </w:r>
      <w:r w:rsidR="00C118E6">
        <w:rPr>
          <w:sz w:val="36"/>
          <w:szCs w:val="36"/>
        </w:rPr>
        <w:t>K.</w:t>
      </w:r>
      <w:proofErr w:type="gramEnd"/>
      <w:r w:rsidR="00C118E6">
        <w:rPr>
          <w:sz w:val="36"/>
          <w:szCs w:val="36"/>
        </w:rPr>
        <w:t xml:space="preserve">  </w:t>
      </w:r>
    </w:p>
    <w:p w:rsidR="00C118E6" w:rsidRDefault="00C118E6" w:rsidP="00120856">
      <w:pPr>
        <w:spacing w:after="120" w:line="240" w:lineRule="auto"/>
        <w:rPr>
          <w:sz w:val="36"/>
          <w:szCs w:val="36"/>
        </w:rPr>
      </w:pPr>
    </w:p>
    <w:p w:rsidR="00EE11C5" w:rsidRDefault="00C118E6" w:rsidP="00120856">
      <w:pPr>
        <w:spacing w:after="120" w:line="240" w:lineRule="auto"/>
        <w:rPr>
          <w:sz w:val="36"/>
          <w:szCs w:val="36"/>
        </w:rPr>
      </w:pPr>
      <w:r>
        <w:rPr>
          <w:sz w:val="36"/>
          <w:szCs w:val="36"/>
        </w:rPr>
        <w:t>Just to make matters more confusing than we need them to be, the phrase “is an element of” has an equivalent meaning, namely, “</w:t>
      </w:r>
      <w:proofErr w:type="gramStart"/>
      <w:r>
        <w:rPr>
          <w:sz w:val="36"/>
          <w:szCs w:val="36"/>
        </w:rPr>
        <w:t>belongs</w:t>
      </w:r>
      <w:proofErr w:type="gramEnd"/>
      <w:r>
        <w:rPr>
          <w:sz w:val="36"/>
          <w:szCs w:val="36"/>
        </w:rPr>
        <w:t xml:space="preserve"> to”.  Thus we could say that “9 </w:t>
      </w:r>
      <w:proofErr w:type="gramStart"/>
      <w:r>
        <w:rPr>
          <w:sz w:val="36"/>
          <w:szCs w:val="36"/>
        </w:rPr>
        <w:t>belongs</w:t>
      </w:r>
      <w:proofErr w:type="gramEnd"/>
      <w:r>
        <w:rPr>
          <w:sz w:val="36"/>
          <w:szCs w:val="36"/>
        </w:rPr>
        <w:t xml:space="preserve"> to G, and we would write that as 9</w:t>
      </w:r>
      <w:r>
        <w:rPr>
          <w:sz w:val="36"/>
          <w:szCs w:val="36"/>
        </w:rPr>
        <w:sym w:font="Mathematica1" w:char="F0CE"/>
      </w:r>
      <w:r>
        <w:rPr>
          <w:sz w:val="36"/>
          <w:szCs w:val="36"/>
        </w:rPr>
        <w:t>G.  Naturally, “is not an element of” can also be expressed as “does not belong to”, as in “35 does not belong to A” which we write as 35</w:t>
      </w:r>
      <w:r>
        <w:rPr>
          <w:sz w:val="36"/>
          <w:szCs w:val="36"/>
        </w:rPr>
        <w:sym w:font="Mathematica1" w:char="F0CF"/>
      </w:r>
      <w:r>
        <w:rPr>
          <w:sz w:val="36"/>
          <w:szCs w:val="36"/>
        </w:rPr>
        <w:t>A.</w:t>
      </w:r>
    </w:p>
    <w:p w:rsidR="00C118E6" w:rsidRDefault="00C118E6" w:rsidP="00120856">
      <w:pPr>
        <w:spacing w:after="120" w:line="240" w:lineRule="auto"/>
        <w:rPr>
          <w:sz w:val="36"/>
          <w:szCs w:val="36"/>
        </w:rPr>
      </w:pPr>
    </w:p>
    <w:p w:rsidR="00C118E6" w:rsidRPr="00120856" w:rsidRDefault="00C118E6" w:rsidP="00120856">
      <w:pPr>
        <w:spacing w:after="120" w:line="240" w:lineRule="auto"/>
        <w:rPr>
          <w:sz w:val="36"/>
          <w:szCs w:val="36"/>
        </w:rPr>
      </w:pPr>
      <w:r>
        <w:rPr>
          <w:sz w:val="36"/>
          <w:szCs w:val="36"/>
        </w:rPr>
        <w:t xml:space="preserve">Not only do we use two different expressions, “is an element of” and “belongs to” for the same concept, we actually have a second, slightly different, symbol </w:t>
      </w:r>
      <w:proofErr w:type="gramStart"/>
      <w:r>
        <w:rPr>
          <w:sz w:val="36"/>
          <w:szCs w:val="36"/>
        </w:rPr>
        <w:t xml:space="preserve">for </w:t>
      </w:r>
      <w:proofErr w:type="gramEnd"/>
      <w:r>
        <w:rPr>
          <w:sz w:val="36"/>
          <w:szCs w:val="36"/>
        </w:rPr>
        <w:sym w:font="Mathematica1" w:char="F0CE"/>
      </w:r>
      <w:r>
        <w:rPr>
          <w:sz w:val="36"/>
          <w:szCs w:val="36"/>
        </w:rPr>
        <w:t xml:space="preserve">, namely, the symbol </w:t>
      </w:r>
      <w:r w:rsidR="006A16FE">
        <w:rPr>
          <w:noProof/>
          <w:sz w:val="36"/>
          <w:szCs w:val="36"/>
        </w:rPr>
        <w:drawing>
          <wp:inline distT="0" distB="0" distL="0" distR="0" wp14:anchorId="4E9A9D07" wp14:editId="1C8700B1">
            <wp:extent cx="132725" cy="28757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n.png"/>
                    <pic:cNvPicPr/>
                  </pic:nvPicPr>
                  <pic:blipFill>
                    <a:blip r:embed="rId6">
                      <a:extLst>
                        <a:ext uri="{BEBA8EAE-BF5A-486C-A8C5-ECC9F3942E4B}">
                          <a14:imgProps xmlns:a14="http://schemas.microsoft.com/office/drawing/2010/main">
                            <a14:imgLayer r:embed="rId7">
                              <a14:imgEffect>
                                <a14:brightnessContrast contrast="56000"/>
                              </a14:imgEffect>
                            </a14:imgLayer>
                          </a14:imgProps>
                        </a:ext>
                        <a:ext uri="{28A0092B-C50C-407E-A947-70E740481C1C}">
                          <a14:useLocalDpi xmlns:a14="http://schemas.microsoft.com/office/drawing/2010/main" val="0"/>
                        </a:ext>
                      </a:extLst>
                    </a:blip>
                    <a:stretch>
                      <a:fillRect/>
                    </a:stretch>
                  </pic:blipFill>
                  <pic:spPr>
                    <a:xfrm>
                      <a:off x="0" y="0"/>
                      <a:ext cx="131949" cy="285890"/>
                    </a:xfrm>
                    <a:prstGeom prst="rect">
                      <a:avLst/>
                    </a:prstGeom>
                  </pic:spPr>
                </pic:pic>
              </a:graphicData>
            </a:graphic>
          </wp:inline>
        </w:drawing>
      </w:r>
      <w:r w:rsidR="00B95FD0">
        <w:rPr>
          <w:sz w:val="36"/>
          <w:szCs w:val="36"/>
        </w:rPr>
        <w:t xml:space="preserve">, and a slightly different symbol for </w:t>
      </w:r>
      <w:r w:rsidR="00B95FD0">
        <w:rPr>
          <w:sz w:val="36"/>
          <w:szCs w:val="36"/>
        </w:rPr>
        <w:sym w:font="Mathematica1" w:char="F0CF"/>
      </w:r>
      <w:r w:rsidR="00B95FD0">
        <w:rPr>
          <w:sz w:val="36"/>
          <w:szCs w:val="36"/>
        </w:rPr>
        <w:t xml:space="preserve">, namely </w:t>
      </w:r>
      <w:r w:rsidR="00B95FD0">
        <w:rPr>
          <w:noProof/>
          <w:sz w:val="36"/>
          <w:szCs w:val="36"/>
        </w:rPr>
        <w:drawing>
          <wp:inline distT="0" distB="0" distL="0" distR="0" wp14:anchorId="02325667" wp14:editId="60296790">
            <wp:extent cx="128058" cy="243310"/>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notin.png"/>
                    <pic:cNvPicPr/>
                  </pic:nvPicPr>
                  <pic:blipFill>
                    <a:blip r:embed="rId8">
                      <a:extLst>
                        <a:ext uri="{BEBA8EAE-BF5A-486C-A8C5-ECC9F3942E4B}">
                          <a14:imgProps xmlns:a14="http://schemas.microsoft.com/office/drawing/2010/main">
                            <a14:imgLayer r:embed="rId9">
                              <a14:imgEffect>
                                <a14:brightnessContrast contrast="54000"/>
                              </a14:imgEffect>
                            </a14:imgLayer>
                          </a14:imgProps>
                        </a:ext>
                        <a:ext uri="{28A0092B-C50C-407E-A947-70E740481C1C}">
                          <a14:useLocalDpi xmlns:a14="http://schemas.microsoft.com/office/drawing/2010/main" val="0"/>
                        </a:ext>
                      </a:extLst>
                    </a:blip>
                    <a:stretch>
                      <a:fillRect/>
                    </a:stretch>
                  </pic:blipFill>
                  <pic:spPr>
                    <a:xfrm>
                      <a:off x="0" y="0"/>
                      <a:ext cx="127854" cy="242922"/>
                    </a:xfrm>
                    <a:prstGeom prst="rect">
                      <a:avLst/>
                    </a:prstGeom>
                  </pic:spPr>
                </pic:pic>
              </a:graphicData>
            </a:graphic>
          </wp:inline>
        </w:drawing>
      </w:r>
      <w:r w:rsidR="00B95FD0">
        <w:rPr>
          <w:sz w:val="36"/>
          <w:szCs w:val="36"/>
        </w:rPr>
        <w:t>.</w:t>
      </w:r>
    </w:p>
    <w:sectPr w:rsidR="00C118E6" w:rsidRPr="00120856" w:rsidSect="0007655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thematica1">
    <w:panose1 w:val="050005020601000000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6444"/>
    <w:multiLevelType w:val="hybridMultilevel"/>
    <w:tmpl w:val="A952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42139"/>
    <w:multiLevelType w:val="hybridMultilevel"/>
    <w:tmpl w:val="880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54"/>
    <w:rsid w:val="00054095"/>
    <w:rsid w:val="00076554"/>
    <w:rsid w:val="00120856"/>
    <w:rsid w:val="001E0A71"/>
    <w:rsid w:val="001F010B"/>
    <w:rsid w:val="0025358D"/>
    <w:rsid w:val="00292D7B"/>
    <w:rsid w:val="002C11CF"/>
    <w:rsid w:val="002E1CB2"/>
    <w:rsid w:val="002F163A"/>
    <w:rsid w:val="004F7157"/>
    <w:rsid w:val="00675B93"/>
    <w:rsid w:val="006A16FE"/>
    <w:rsid w:val="00773644"/>
    <w:rsid w:val="007C50FC"/>
    <w:rsid w:val="00A41897"/>
    <w:rsid w:val="00AF7D37"/>
    <w:rsid w:val="00B95FD0"/>
    <w:rsid w:val="00BD7831"/>
    <w:rsid w:val="00C118E6"/>
    <w:rsid w:val="00C321C5"/>
    <w:rsid w:val="00EB5378"/>
    <w:rsid w:val="00EE11C5"/>
    <w:rsid w:val="00FC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554"/>
    <w:pPr>
      <w:ind w:left="720"/>
      <w:contextualSpacing/>
    </w:pPr>
  </w:style>
  <w:style w:type="paragraph" w:styleId="BalloonText">
    <w:name w:val="Balloon Text"/>
    <w:basedOn w:val="Normal"/>
    <w:link w:val="BalloonTextChar"/>
    <w:uiPriority w:val="99"/>
    <w:semiHidden/>
    <w:unhideWhenUsed/>
    <w:rsid w:val="006A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554"/>
    <w:pPr>
      <w:ind w:left="720"/>
      <w:contextualSpacing/>
    </w:pPr>
  </w:style>
  <w:style w:type="paragraph" w:styleId="BalloonText">
    <w:name w:val="Balloon Text"/>
    <w:basedOn w:val="Normal"/>
    <w:link w:val="BalloonTextChar"/>
    <w:uiPriority w:val="99"/>
    <w:semiHidden/>
    <w:unhideWhenUsed/>
    <w:rsid w:val="006A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1158</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Roger</cp:lastModifiedBy>
  <cp:revision>11</cp:revision>
  <cp:lastPrinted>2013-08-13T16:03:00Z</cp:lastPrinted>
  <dcterms:created xsi:type="dcterms:W3CDTF">2013-08-12T21:14:00Z</dcterms:created>
  <dcterms:modified xsi:type="dcterms:W3CDTF">2013-08-13T16:36:00Z</dcterms:modified>
</cp:coreProperties>
</file>